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8BCF8" w14:textId="7BD615D0" w:rsidR="00D87921" w:rsidRPr="007F31B7" w:rsidRDefault="00927233" w:rsidP="00D8792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31B7">
        <w:rPr>
          <w:rFonts w:ascii="Times New Roman" w:hAnsi="Times New Roman" w:cs="Times New Roman"/>
          <w:b/>
          <w:sz w:val="28"/>
          <w:szCs w:val="28"/>
          <w:u w:val="single"/>
        </w:rPr>
        <w:t xml:space="preserve">Część </w:t>
      </w:r>
      <w:r w:rsidR="00D87921" w:rsidRPr="007F31B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7F31B7"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="007F31B7" w:rsidRPr="007F31B7">
        <w:rPr>
          <w:rFonts w:ascii="Times New Roman" w:hAnsi="Times New Roman" w:cs="Times New Roman"/>
          <w:b/>
          <w:sz w:val="28"/>
          <w:szCs w:val="28"/>
          <w:u w:val="single"/>
        </w:rPr>
        <w:t>Komputery przenośne wraz z oprogramowaniem systemowym</w:t>
      </w:r>
    </w:p>
    <w:p w14:paraId="510627FF" w14:textId="4F78961D" w:rsidR="00D87921" w:rsidRPr="00526F17" w:rsidRDefault="00D87921" w:rsidP="00D87921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6F17">
        <w:rPr>
          <w:rFonts w:ascii="Times New Roman" w:hAnsi="Times New Roman" w:cs="Times New Roman"/>
          <w:b/>
          <w:sz w:val="26"/>
          <w:szCs w:val="26"/>
        </w:rPr>
        <w:t>ILOŚĆ: Komputery przenośne - 15 sztuk;</w:t>
      </w:r>
    </w:p>
    <w:p w14:paraId="31BD1F03" w14:textId="77777777" w:rsidR="002436F8" w:rsidRDefault="002436F8" w:rsidP="002436F8">
      <w:pPr>
        <w:spacing w:after="0" w:line="240" w:lineRule="auto"/>
        <w:rPr>
          <w:rFonts w:ascii="Arial" w:hAnsi="Arial" w:cs="Arial"/>
          <w:b/>
        </w:rPr>
      </w:pPr>
    </w:p>
    <w:p w14:paraId="57B23580" w14:textId="1412D68A" w:rsidR="002436F8" w:rsidRPr="00455634" w:rsidRDefault="002436F8" w:rsidP="002436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5634">
        <w:rPr>
          <w:rFonts w:ascii="Times New Roman" w:hAnsi="Times New Roman" w:cs="Times New Roman"/>
          <w:b/>
          <w:sz w:val="28"/>
          <w:szCs w:val="28"/>
          <w:u w:val="single"/>
        </w:rPr>
        <w:t>Wymogi dla sprzętu komputerowego</w:t>
      </w:r>
    </w:p>
    <w:p w14:paraId="2EB437DF" w14:textId="77777777" w:rsidR="002436F8" w:rsidRPr="002436F8" w:rsidRDefault="002436F8" w:rsidP="002436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769FF1" w14:textId="6ABB4E35" w:rsidR="002436F8" w:rsidRPr="00455634" w:rsidRDefault="002436F8" w:rsidP="002436F8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455634">
        <w:rPr>
          <w:rFonts w:ascii="Times New Roman" w:hAnsi="Times New Roman" w:cs="Times New Roman"/>
          <w:b/>
          <w:sz w:val="28"/>
          <w:szCs w:val="28"/>
        </w:rPr>
        <w:t>Wspólne cechy zamówienia</w:t>
      </w:r>
    </w:p>
    <w:p w14:paraId="06E2C5C8" w14:textId="77777777" w:rsidR="002436F8" w:rsidRDefault="002436F8" w:rsidP="002436F8">
      <w:pPr>
        <w:rPr>
          <w:rFonts w:ascii="Times New Roman" w:hAnsi="Times New Roman" w:cs="Times New Roman"/>
          <w:b/>
        </w:rPr>
      </w:pPr>
    </w:p>
    <w:p w14:paraId="44CA4C58" w14:textId="77777777" w:rsidR="002436F8" w:rsidRPr="002436F8" w:rsidRDefault="002436F8" w:rsidP="002436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F8">
        <w:rPr>
          <w:rFonts w:ascii="Times New Roman" w:hAnsi="Times New Roman" w:cs="Times New Roman"/>
          <w:sz w:val="24"/>
          <w:szCs w:val="24"/>
        </w:rPr>
        <w:t>Wszystkie wymienione podzespoły, urządzenia oraz oprogramowanie muszą spełniać następujące warunki :</w:t>
      </w:r>
    </w:p>
    <w:p w14:paraId="1FDF98C6" w14:textId="77777777" w:rsidR="002436F8" w:rsidRPr="002436F8" w:rsidRDefault="002436F8" w:rsidP="002436F8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F8">
        <w:rPr>
          <w:rFonts w:ascii="Times New Roman" w:hAnsi="Times New Roman" w:cs="Times New Roman"/>
          <w:sz w:val="24"/>
          <w:szCs w:val="24"/>
        </w:rPr>
        <w:t>pochodzić z legalnego obrotu na terenie Polski,</w:t>
      </w:r>
    </w:p>
    <w:p w14:paraId="5FF49E5F" w14:textId="77777777" w:rsidR="002436F8" w:rsidRPr="002436F8" w:rsidRDefault="002436F8" w:rsidP="002436F8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F8">
        <w:rPr>
          <w:rFonts w:ascii="Times New Roman" w:hAnsi="Times New Roman" w:cs="Times New Roman"/>
          <w:sz w:val="24"/>
          <w:szCs w:val="24"/>
        </w:rPr>
        <w:t>być sprawne technicznie i fabrycznie nowe,</w:t>
      </w:r>
    </w:p>
    <w:p w14:paraId="466C966D" w14:textId="77777777" w:rsidR="002436F8" w:rsidRPr="002436F8" w:rsidRDefault="002436F8" w:rsidP="002436F8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F8">
        <w:rPr>
          <w:rFonts w:ascii="Times New Roman" w:hAnsi="Times New Roman" w:cs="Times New Roman"/>
          <w:sz w:val="24"/>
          <w:szCs w:val="24"/>
        </w:rPr>
        <w:t>być objęte minimum 24-miesięczną gwarancją na terenie Polski (chyba, że wskazano inny minimalny okres gwarancji lub dłuższy okres gwarancji jest premiowany przy rozstrzygnięciu zamówienia),</w:t>
      </w:r>
    </w:p>
    <w:p w14:paraId="4ED3AD5C" w14:textId="77777777" w:rsidR="002436F8" w:rsidRPr="002436F8" w:rsidRDefault="002436F8" w:rsidP="002436F8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F8">
        <w:rPr>
          <w:rFonts w:ascii="Times New Roman" w:hAnsi="Times New Roman" w:cs="Times New Roman"/>
          <w:sz w:val="24"/>
          <w:szCs w:val="24"/>
        </w:rPr>
        <w:t>posiadać dostarczone kompletne okablowanie pozwalające na uruchomienie,</w:t>
      </w:r>
    </w:p>
    <w:p w14:paraId="29AE937E" w14:textId="77777777" w:rsidR="002436F8" w:rsidRPr="002436F8" w:rsidRDefault="002436F8" w:rsidP="002436F8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F8">
        <w:rPr>
          <w:rFonts w:ascii="Times New Roman" w:hAnsi="Times New Roman" w:cs="Times New Roman"/>
          <w:sz w:val="24"/>
          <w:szCs w:val="24"/>
        </w:rPr>
        <w:t>posiadać dostarczone i wypełnione dokumenty potrzebne do realizacji warunków gwarancji,</w:t>
      </w:r>
    </w:p>
    <w:p w14:paraId="295CFFEC" w14:textId="77777777" w:rsidR="002436F8" w:rsidRPr="002436F8" w:rsidRDefault="002436F8" w:rsidP="002436F8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F8">
        <w:rPr>
          <w:rFonts w:ascii="Times New Roman" w:hAnsi="Times New Roman" w:cs="Times New Roman"/>
          <w:sz w:val="24"/>
          <w:szCs w:val="24"/>
        </w:rPr>
        <w:t>posiadać legalne i zainstalowane oprogramowanie, licencje, certyfikaty i inne wymagane pozwolenia,</w:t>
      </w:r>
    </w:p>
    <w:p w14:paraId="6FD2CE95" w14:textId="4FE9A238" w:rsidR="002436F8" w:rsidRPr="002436F8" w:rsidRDefault="002436F8" w:rsidP="002436F8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F8">
        <w:rPr>
          <w:rFonts w:ascii="Times New Roman" w:hAnsi="Times New Roman" w:cs="Times New Roman"/>
          <w:sz w:val="24"/>
          <w:szCs w:val="24"/>
        </w:rPr>
        <w:t>posiadać dokumenty i certyfikaty potwierdzające zgodność spełnienia minimalnych norm oraz wymagań użytkowych wymienionymi w niniejszym opisie przedmiotu zamówienia, które Zamawiający ma prawo zażądać od Wykonawcy</w:t>
      </w:r>
      <w:r w:rsidR="00616F5F">
        <w:rPr>
          <w:rFonts w:ascii="Times New Roman" w:hAnsi="Times New Roman" w:cs="Times New Roman"/>
          <w:sz w:val="24"/>
          <w:szCs w:val="24"/>
        </w:rPr>
        <w:t xml:space="preserve"> (przekroczenie standardu minimum jest premiowane przy rozstrzygnięciu zamówienia)</w:t>
      </w:r>
      <w:r w:rsidRPr="002436F8">
        <w:rPr>
          <w:rFonts w:ascii="Times New Roman" w:hAnsi="Times New Roman" w:cs="Times New Roman"/>
          <w:sz w:val="24"/>
          <w:szCs w:val="24"/>
        </w:rPr>
        <w:t>.</w:t>
      </w:r>
    </w:p>
    <w:p w14:paraId="054C1FC5" w14:textId="77777777" w:rsidR="002436F8" w:rsidRPr="002436F8" w:rsidRDefault="002436F8" w:rsidP="002436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F8">
        <w:rPr>
          <w:rFonts w:ascii="Times New Roman" w:hAnsi="Times New Roman" w:cs="Times New Roman"/>
          <w:sz w:val="24"/>
          <w:szCs w:val="24"/>
        </w:rPr>
        <w:t>Domyślnie uznaje się realizację gwarancji na podstawie wystawionej faktury, jeśli Wykonawca nie doręczył innych dokumentów.</w:t>
      </w:r>
    </w:p>
    <w:p w14:paraId="546B82EF" w14:textId="77777777" w:rsidR="002436F8" w:rsidRPr="002436F8" w:rsidRDefault="002436F8" w:rsidP="002436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F8">
        <w:rPr>
          <w:rFonts w:ascii="Times New Roman" w:hAnsi="Times New Roman" w:cs="Times New Roman"/>
          <w:sz w:val="24"/>
          <w:szCs w:val="24"/>
        </w:rPr>
        <w:t>Dostarczone oprogramowanie nie może być wcześniej aktywowane i użytkowane w innym urządzeniu niż zaproponowane przez Wykonawcę/Oferenta.</w:t>
      </w:r>
    </w:p>
    <w:p w14:paraId="5D501E73" w14:textId="77777777" w:rsidR="002436F8" w:rsidRPr="002436F8" w:rsidRDefault="002436F8" w:rsidP="002436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F8">
        <w:rPr>
          <w:rFonts w:ascii="Times New Roman" w:hAnsi="Times New Roman" w:cs="Times New Roman"/>
          <w:sz w:val="24"/>
          <w:szCs w:val="24"/>
        </w:rPr>
        <w:t>Wszystkie wymienione w specyfikacji porty, gniazda i interfejsy muszą być integralną częścią urządzenia. Nie dopuszcza się możliwości stosowania przejściówek, konwerterów lub dodatkowych urządzeń w celu spełnienia wymagań zapisów szczegółowego opisu przedmiotu zamówienia, chyba że Zamawiający świadomie stosuje wyjątek od tej reguły.</w:t>
      </w:r>
    </w:p>
    <w:p w14:paraId="65AD1278" w14:textId="77777777" w:rsidR="002436F8" w:rsidRPr="002436F8" w:rsidRDefault="002436F8" w:rsidP="002436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F8">
        <w:rPr>
          <w:rFonts w:ascii="Times New Roman" w:hAnsi="Times New Roman" w:cs="Times New Roman"/>
          <w:sz w:val="24"/>
          <w:szCs w:val="24"/>
        </w:rPr>
        <w:t>Wymagania dotyczące realizacji gwarancji przewidują możliwość wymiany urządzenia na inny egzemplarz pod warunkiem zagwarantowania przez Producenta/Wykonawcę/Oferenta, że będzie on fabrycznie nowy. W przypadku, gdyby gwarancyjna wymiana urządzenia na taki sam model nie była możliwa, dopuszcza się możliwość zaproponowania innego modelu urządzenia, który jest fabrycznie nowy i spełnienia parametry techniczne, pod warunkiem przeniesienia wszystkich konfiguracji oraz danych,</w:t>
      </w:r>
    </w:p>
    <w:p w14:paraId="3BAA66A0" w14:textId="376DBE9F" w:rsidR="002436F8" w:rsidRPr="002436F8" w:rsidRDefault="002436F8" w:rsidP="002436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F8">
        <w:rPr>
          <w:rFonts w:ascii="Times New Roman" w:hAnsi="Times New Roman" w:cs="Times New Roman"/>
          <w:sz w:val="24"/>
          <w:szCs w:val="24"/>
        </w:rPr>
        <w:t>Wszystkie komputery</w:t>
      </w:r>
      <w:r w:rsidR="00616F5F">
        <w:rPr>
          <w:rFonts w:ascii="Times New Roman" w:hAnsi="Times New Roman" w:cs="Times New Roman"/>
          <w:sz w:val="24"/>
          <w:szCs w:val="24"/>
        </w:rPr>
        <w:t xml:space="preserve"> przenośne </w:t>
      </w:r>
      <w:r w:rsidRPr="002436F8">
        <w:rPr>
          <w:rFonts w:ascii="Times New Roman" w:hAnsi="Times New Roman" w:cs="Times New Roman"/>
          <w:sz w:val="24"/>
          <w:szCs w:val="24"/>
        </w:rPr>
        <w:t>muszą pochodzić od jednego producenta, posiadać jednakową długość gwarancji oraz sposób jej realizacji.</w:t>
      </w:r>
    </w:p>
    <w:p w14:paraId="132FEA95" w14:textId="77777777" w:rsidR="002436F8" w:rsidRPr="002436F8" w:rsidRDefault="002436F8" w:rsidP="002436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F8">
        <w:rPr>
          <w:rFonts w:ascii="Times New Roman" w:hAnsi="Times New Roman" w:cs="Times New Roman"/>
          <w:sz w:val="24"/>
          <w:szCs w:val="24"/>
        </w:rPr>
        <w:lastRenderedPageBreak/>
        <w:t>Przez okres gwarancyjny dla całego przedmiotu zamówienia realizacja napraw gwarancyjnych i serwisu odbywać się będzie na koszt Producenta/Wykonawcy/Oferenta włączając w to odbiór urządzenia z miejsca eksploatacji i jego ponowne dostarczenie po zrealizowaniu naprawy.</w:t>
      </w:r>
    </w:p>
    <w:p w14:paraId="30472388" w14:textId="3358B7E5" w:rsidR="002436F8" w:rsidRPr="002436F8" w:rsidRDefault="002436F8" w:rsidP="002436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F8">
        <w:rPr>
          <w:rFonts w:ascii="Times New Roman" w:hAnsi="Times New Roman" w:cs="Times New Roman"/>
          <w:sz w:val="24"/>
          <w:szCs w:val="24"/>
        </w:rPr>
        <w:t xml:space="preserve">Naprawa </w:t>
      </w:r>
      <w:r w:rsidR="00616F5F">
        <w:rPr>
          <w:rFonts w:ascii="Times New Roman" w:hAnsi="Times New Roman" w:cs="Times New Roman"/>
          <w:sz w:val="24"/>
          <w:szCs w:val="24"/>
        </w:rPr>
        <w:t>komputera przenośnego</w:t>
      </w:r>
      <w:r w:rsidRPr="002436F8">
        <w:rPr>
          <w:rFonts w:ascii="Times New Roman" w:hAnsi="Times New Roman" w:cs="Times New Roman"/>
          <w:sz w:val="24"/>
          <w:szCs w:val="24"/>
        </w:rPr>
        <w:t xml:space="preserve"> musi odbywać się przy obecności przedstawiciela Zamawiającego, a w razie braku takiej możliwości u Zamawiającego musi pozostać dysk twardy na cały czas naprawy.</w:t>
      </w:r>
    </w:p>
    <w:p w14:paraId="342AE43C" w14:textId="51360228" w:rsidR="002436F8" w:rsidRPr="002436F8" w:rsidRDefault="002436F8" w:rsidP="002436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F8">
        <w:rPr>
          <w:rFonts w:ascii="Times New Roman" w:hAnsi="Times New Roman" w:cs="Times New Roman"/>
          <w:sz w:val="24"/>
          <w:szCs w:val="24"/>
        </w:rPr>
        <w:t>W przypadku awarii każdego dysku twardego będącego przedmiotem zamówienia (w tym dysk</w:t>
      </w:r>
      <w:r w:rsidR="00616F5F">
        <w:rPr>
          <w:rFonts w:ascii="Times New Roman" w:hAnsi="Times New Roman" w:cs="Times New Roman"/>
          <w:sz w:val="24"/>
          <w:szCs w:val="24"/>
        </w:rPr>
        <w:t>i</w:t>
      </w:r>
      <w:r w:rsidRPr="002436F8">
        <w:rPr>
          <w:rFonts w:ascii="Times New Roman" w:hAnsi="Times New Roman" w:cs="Times New Roman"/>
          <w:sz w:val="24"/>
          <w:szCs w:val="24"/>
        </w:rPr>
        <w:t xml:space="preserve"> typu SSD) wadliwe podzespoły pozostaną u Zamawiającego, a Producent/Wykonawca/Oferent zapewni nowy, sprawny egzemplarz o takich samych lub lepszych parametrach. Producent/Wykonawca/Oferent ma prawo weryfikacji awarii takiego urządzenia na miejscu u Zamawiającego i tylko pod jego obecność.</w:t>
      </w:r>
    </w:p>
    <w:p w14:paraId="6C82A4BD" w14:textId="5D12D9CA" w:rsidR="002436F8" w:rsidRPr="002436F8" w:rsidRDefault="002436F8" w:rsidP="002436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6F8">
        <w:rPr>
          <w:rFonts w:ascii="Times New Roman" w:hAnsi="Times New Roman" w:cs="Times New Roman"/>
          <w:sz w:val="24"/>
          <w:szCs w:val="24"/>
        </w:rPr>
        <w:t>Zestaw komputerowy musi być właściwie dobrany kolorystycznie (</w:t>
      </w:r>
      <w:r w:rsidR="00616F5F">
        <w:rPr>
          <w:rFonts w:ascii="Times New Roman" w:hAnsi="Times New Roman" w:cs="Times New Roman"/>
          <w:sz w:val="24"/>
          <w:szCs w:val="24"/>
        </w:rPr>
        <w:t>komputer przenośny,</w:t>
      </w:r>
      <w:r w:rsidRPr="002436F8">
        <w:rPr>
          <w:rFonts w:ascii="Times New Roman" w:hAnsi="Times New Roman" w:cs="Times New Roman"/>
          <w:sz w:val="24"/>
          <w:szCs w:val="24"/>
        </w:rPr>
        <w:t xml:space="preserve"> mysz).</w:t>
      </w:r>
    </w:p>
    <w:p w14:paraId="715F6701" w14:textId="1FFDA794" w:rsidR="00927233" w:rsidRDefault="00927233" w:rsidP="00927233">
      <w:pPr>
        <w:spacing w:after="0" w:line="276" w:lineRule="auto"/>
        <w:jc w:val="both"/>
        <w:rPr>
          <w:rFonts w:ascii="Cambria Math" w:hAnsi="Cambria Math"/>
          <w:b/>
        </w:rPr>
      </w:pPr>
    </w:p>
    <w:p w14:paraId="61129395" w14:textId="20B4AB86" w:rsidR="00616F5F" w:rsidRDefault="00616F5F" w:rsidP="00927233">
      <w:pPr>
        <w:spacing w:after="0" w:line="276" w:lineRule="auto"/>
        <w:jc w:val="both"/>
        <w:rPr>
          <w:rFonts w:ascii="Cambria Math" w:hAnsi="Cambria Math"/>
          <w:b/>
        </w:rPr>
      </w:pPr>
    </w:p>
    <w:p w14:paraId="7C083DD2" w14:textId="77777777" w:rsidR="00616F5F" w:rsidRPr="00455634" w:rsidRDefault="00616F5F" w:rsidP="00F96C5F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455634">
        <w:rPr>
          <w:rFonts w:ascii="Times New Roman" w:hAnsi="Times New Roman" w:cs="Times New Roman"/>
          <w:b/>
          <w:sz w:val="28"/>
          <w:szCs w:val="28"/>
        </w:rPr>
        <w:t>Wymagana specyfikacja techniczna sprzętu i oprogramowania :</w:t>
      </w:r>
    </w:p>
    <w:p w14:paraId="1539EC50" w14:textId="0667959A" w:rsidR="005149A1" w:rsidRPr="005149A1" w:rsidRDefault="005149A1" w:rsidP="005149A1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49A1">
        <w:rPr>
          <w:rFonts w:ascii="Times New Roman" w:hAnsi="Times New Roman" w:cs="Times New Roman"/>
          <w:b/>
          <w:color w:val="FF0000"/>
          <w:sz w:val="28"/>
          <w:szCs w:val="28"/>
        </w:rPr>
        <w:t>UWAGA! O ile nie wskazano inaczej, każdą wartość podaną w specyfikacji poniżej należy traktować jako parametr minimalny:</w:t>
      </w:r>
    </w:p>
    <w:p w14:paraId="2563491E" w14:textId="76E8933B" w:rsidR="005149A1" w:rsidRPr="00526F17" w:rsidRDefault="00927233" w:rsidP="005149A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26F17">
        <w:rPr>
          <w:rFonts w:ascii="Times New Roman" w:hAnsi="Times New Roman" w:cs="Times New Roman"/>
          <w:b/>
          <w:bCs/>
          <w:sz w:val="23"/>
          <w:szCs w:val="23"/>
        </w:rPr>
        <w:t xml:space="preserve">Komputer </w:t>
      </w:r>
      <w:r w:rsidR="00D87921" w:rsidRPr="00526F17">
        <w:rPr>
          <w:rFonts w:ascii="Times New Roman" w:hAnsi="Times New Roman" w:cs="Times New Roman"/>
          <w:b/>
          <w:bCs/>
          <w:sz w:val="23"/>
          <w:szCs w:val="23"/>
        </w:rPr>
        <w:t>przenośny</w:t>
      </w:r>
      <w:r w:rsidRPr="00526F1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55634">
        <w:rPr>
          <w:rFonts w:ascii="Times New Roman" w:hAnsi="Times New Roman" w:cs="Times New Roman"/>
          <w:b/>
          <w:bCs/>
          <w:sz w:val="23"/>
          <w:szCs w:val="23"/>
        </w:rPr>
        <w:t xml:space="preserve">z systemem operacyjnym </w:t>
      </w:r>
      <w:r w:rsidRPr="00526F17">
        <w:rPr>
          <w:rFonts w:ascii="Times New Roman" w:hAnsi="Times New Roman" w:cs="Times New Roman"/>
          <w:b/>
          <w:bCs/>
          <w:sz w:val="23"/>
          <w:szCs w:val="23"/>
        </w:rPr>
        <w:t>– 15 sztuk</w:t>
      </w:r>
    </w:p>
    <w:p w14:paraId="41401BA7" w14:textId="77777777" w:rsidR="00D87921" w:rsidRPr="00526F17" w:rsidRDefault="00D87921" w:rsidP="00D8792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26F17">
        <w:rPr>
          <w:rFonts w:ascii="Times New Roman" w:hAnsi="Times New Roman"/>
          <w:b/>
          <w:sz w:val="23"/>
          <w:szCs w:val="23"/>
        </w:rPr>
        <w:t>TYP</w:t>
      </w:r>
      <w:r w:rsidRPr="00526F17">
        <w:rPr>
          <w:rFonts w:ascii="Times New Roman" w:hAnsi="Times New Roman"/>
          <w:sz w:val="23"/>
          <w:szCs w:val="23"/>
        </w:rPr>
        <w:t>: Komputer przenośny typu laptop z ekranem o przekątnej 15,6”, rozdzielczości FULL HD, technologia LED, powłoka ekranu przeciwodblaskowa (antyrefleksyjna);</w:t>
      </w:r>
    </w:p>
    <w:p w14:paraId="5371A085" w14:textId="66D6276D" w:rsidR="00D87921" w:rsidRPr="00526F17" w:rsidRDefault="00D87921" w:rsidP="00D8792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526F17">
        <w:rPr>
          <w:rFonts w:ascii="Times New Roman" w:hAnsi="Times New Roman"/>
          <w:b/>
          <w:sz w:val="23"/>
          <w:szCs w:val="23"/>
        </w:rPr>
        <w:t>PROCESOR</w:t>
      </w:r>
      <w:r w:rsidRPr="00526F17">
        <w:rPr>
          <w:rFonts w:ascii="Times New Roman" w:hAnsi="Times New Roman"/>
          <w:sz w:val="23"/>
          <w:szCs w:val="23"/>
        </w:rPr>
        <w:t xml:space="preserve">: min. czterordzeniowy, uzyskujący wynik co najmniej 7619 pkt. w teście </w:t>
      </w:r>
      <w:proofErr w:type="spellStart"/>
      <w:r w:rsidRPr="00526F17">
        <w:rPr>
          <w:rFonts w:ascii="Times New Roman" w:hAnsi="Times New Roman"/>
          <w:sz w:val="23"/>
          <w:szCs w:val="23"/>
        </w:rPr>
        <w:t>Passmark</w:t>
      </w:r>
      <w:proofErr w:type="spellEnd"/>
      <w:r w:rsidRPr="00526F17">
        <w:rPr>
          <w:rFonts w:ascii="Times New Roman" w:hAnsi="Times New Roman"/>
          <w:sz w:val="23"/>
          <w:szCs w:val="23"/>
        </w:rPr>
        <w:t xml:space="preserve"> – CPU Mark wg wyników procesorów publikowanych na stronie </w:t>
      </w:r>
      <w:hyperlink r:id="rId8" w:history="1">
        <w:r w:rsidRPr="00526F17">
          <w:rPr>
            <w:rStyle w:val="Hipercze"/>
            <w:rFonts w:ascii="Times New Roman" w:hAnsi="Times New Roman"/>
            <w:sz w:val="23"/>
            <w:szCs w:val="23"/>
          </w:rPr>
          <w:t>http://www.cpubenchmark.net/cpu_list.php</w:t>
        </w:r>
      </w:hyperlink>
      <w:r w:rsidRPr="00526F17">
        <w:rPr>
          <w:rFonts w:ascii="Times New Roman" w:hAnsi="Times New Roman"/>
          <w:sz w:val="23"/>
          <w:szCs w:val="23"/>
        </w:rPr>
        <w:t xml:space="preserve"> wg rankingu z dnia 31.05.2021. W przypadku zaoferowania procesora nie uwzględnionego w w/w rankingu Wykonawca przeprowadzi powyżej wskazany test we własnym zakresie i załączy do oferty raport wydajnościowy oferowanego procesora (wszystkie elementy muszą pracować z parametrami określonymi przez producenta danego podzespołu). </w:t>
      </w:r>
    </w:p>
    <w:p w14:paraId="4927F9C3" w14:textId="77777777" w:rsidR="00D87921" w:rsidRPr="00526F17" w:rsidRDefault="00D87921" w:rsidP="00D8792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526F17">
        <w:rPr>
          <w:rFonts w:ascii="Times New Roman" w:hAnsi="Times New Roman"/>
          <w:b/>
          <w:sz w:val="23"/>
          <w:szCs w:val="23"/>
        </w:rPr>
        <w:t>PAMIĘĆ OPERACYJNA</w:t>
      </w:r>
      <w:r w:rsidRPr="00526F17">
        <w:rPr>
          <w:rFonts w:ascii="Times New Roman" w:hAnsi="Times New Roman"/>
          <w:sz w:val="23"/>
          <w:szCs w:val="23"/>
        </w:rPr>
        <w:t>: min. 8GB z możliwością rozbudowy do 16 GB pamięci - zamawiający dopuszcza zastosowanie 2 modułów pamięci RAM: 2x4GB);</w:t>
      </w:r>
    </w:p>
    <w:p w14:paraId="1DA599D0" w14:textId="77777777" w:rsidR="00D87921" w:rsidRPr="00526F17" w:rsidRDefault="00D87921" w:rsidP="00D8792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26F17">
        <w:rPr>
          <w:rFonts w:ascii="Times New Roman" w:hAnsi="Times New Roman"/>
          <w:b/>
          <w:sz w:val="23"/>
          <w:szCs w:val="23"/>
        </w:rPr>
        <w:t>Dysk SSD</w:t>
      </w:r>
      <w:r w:rsidRPr="00526F17">
        <w:rPr>
          <w:rFonts w:ascii="Times New Roman" w:hAnsi="Times New Roman"/>
          <w:sz w:val="23"/>
          <w:szCs w:val="23"/>
        </w:rPr>
        <w:t xml:space="preserve">: min 500 GB / </w:t>
      </w:r>
      <w:r w:rsidRPr="00526F17">
        <w:rPr>
          <w:rFonts w:ascii="Times New Roman" w:hAnsi="Times New Roman"/>
          <w:b/>
          <w:sz w:val="23"/>
          <w:szCs w:val="23"/>
        </w:rPr>
        <w:t>Dysk HDD</w:t>
      </w:r>
      <w:r w:rsidRPr="00526F17">
        <w:rPr>
          <w:rFonts w:ascii="Times New Roman" w:hAnsi="Times New Roman"/>
          <w:sz w:val="23"/>
          <w:szCs w:val="23"/>
        </w:rPr>
        <w:t>: min. 1TB;</w:t>
      </w:r>
    </w:p>
    <w:p w14:paraId="750A9095" w14:textId="77777777" w:rsidR="00D87921" w:rsidRPr="00526F17" w:rsidRDefault="00D87921" w:rsidP="00D8792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526F17">
        <w:rPr>
          <w:rFonts w:ascii="Times New Roman" w:hAnsi="Times New Roman"/>
          <w:b/>
          <w:sz w:val="23"/>
          <w:szCs w:val="23"/>
        </w:rPr>
        <w:t>NAPĘD OPTYCZNY</w:t>
      </w:r>
      <w:r w:rsidRPr="00526F17">
        <w:rPr>
          <w:rFonts w:ascii="Times New Roman" w:hAnsi="Times New Roman"/>
          <w:sz w:val="23"/>
          <w:szCs w:val="23"/>
        </w:rPr>
        <w:t>: Napęd z możliwością nagrywania płyt w standardzie DVD +/ RW. Zamawiający dopuszcza zastosowanie napędu zewnętrznego;</w:t>
      </w:r>
    </w:p>
    <w:p w14:paraId="3159A408" w14:textId="77777777" w:rsidR="00D87921" w:rsidRPr="00526F17" w:rsidRDefault="00D87921" w:rsidP="00D8792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26F17">
        <w:rPr>
          <w:rFonts w:ascii="Times New Roman" w:hAnsi="Times New Roman"/>
          <w:b/>
          <w:sz w:val="23"/>
          <w:szCs w:val="23"/>
        </w:rPr>
        <w:t>MYSZ</w:t>
      </w:r>
      <w:r w:rsidRPr="00526F17">
        <w:rPr>
          <w:rFonts w:ascii="Times New Roman" w:hAnsi="Times New Roman"/>
          <w:sz w:val="23"/>
          <w:szCs w:val="23"/>
        </w:rPr>
        <w:t xml:space="preserve">: Przewodowa (USB), optyczna (rozdzielczość 1000 </w:t>
      </w:r>
      <w:proofErr w:type="spellStart"/>
      <w:r w:rsidRPr="00526F17">
        <w:rPr>
          <w:rFonts w:ascii="Times New Roman" w:hAnsi="Times New Roman"/>
          <w:sz w:val="23"/>
          <w:szCs w:val="23"/>
        </w:rPr>
        <w:t>dpi</w:t>
      </w:r>
      <w:proofErr w:type="spellEnd"/>
      <w:r w:rsidRPr="00526F17">
        <w:rPr>
          <w:rFonts w:ascii="Times New Roman" w:hAnsi="Times New Roman"/>
          <w:sz w:val="23"/>
          <w:szCs w:val="23"/>
        </w:rPr>
        <w:t>), 3 przyciski i rolka. Konieczność zaoferowania urządzenia umożliwiającego jego konfigurację jako urządzenia przeznaczonego dla osób leworęcznych lub praworęcznych (realizowane sprzętowo lub programowo – przez system operacyjny);</w:t>
      </w:r>
    </w:p>
    <w:p w14:paraId="56F6A324" w14:textId="77777777" w:rsidR="00D87921" w:rsidRPr="00526F17" w:rsidRDefault="00D87921" w:rsidP="00D8792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26F17">
        <w:rPr>
          <w:rFonts w:ascii="Times New Roman" w:hAnsi="Times New Roman"/>
          <w:b/>
          <w:sz w:val="23"/>
          <w:szCs w:val="23"/>
        </w:rPr>
        <w:t>MULTIMEDIA</w:t>
      </w:r>
      <w:r w:rsidRPr="00526F17">
        <w:rPr>
          <w:rFonts w:ascii="Times New Roman" w:hAnsi="Times New Roman"/>
          <w:sz w:val="23"/>
          <w:szCs w:val="23"/>
        </w:rPr>
        <w:t>: wbudowana karta dźwiękowa stereo, wbudowane głośniki stereo;</w:t>
      </w:r>
    </w:p>
    <w:p w14:paraId="4EDD8CEB" w14:textId="77777777" w:rsidR="00D87921" w:rsidRPr="00526F17" w:rsidRDefault="00D87921" w:rsidP="00D8792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26F17">
        <w:rPr>
          <w:rFonts w:ascii="Times New Roman" w:hAnsi="Times New Roman"/>
          <w:b/>
          <w:sz w:val="23"/>
          <w:szCs w:val="23"/>
        </w:rPr>
        <w:lastRenderedPageBreak/>
        <w:t>ODBUDOWA PO AWARII</w:t>
      </w:r>
      <w:r w:rsidRPr="00526F17">
        <w:rPr>
          <w:rFonts w:ascii="Times New Roman" w:hAnsi="Times New Roman"/>
          <w:sz w:val="23"/>
          <w:szCs w:val="23"/>
        </w:rPr>
        <w:t xml:space="preserve">: Narzędzie </w:t>
      </w:r>
      <w:proofErr w:type="spellStart"/>
      <w:r w:rsidRPr="00526F17">
        <w:rPr>
          <w:rFonts w:ascii="Times New Roman" w:hAnsi="Times New Roman"/>
          <w:sz w:val="23"/>
          <w:szCs w:val="23"/>
        </w:rPr>
        <w:t>Recovery</w:t>
      </w:r>
      <w:proofErr w:type="spellEnd"/>
      <w:r w:rsidRPr="00526F17">
        <w:rPr>
          <w:rFonts w:ascii="Times New Roman" w:hAnsi="Times New Roman"/>
          <w:sz w:val="23"/>
          <w:szCs w:val="23"/>
        </w:rPr>
        <w:t xml:space="preserve"> dedykowane przez producenta sprzętu umożliwiające kompletne odtworzenie systemu z wcześniej sporządzonych obrazów lub przywrócenie do stanu początkowego (fabrycznego) uruchamiane spoza systemu operacyjnego (np. z partycji rozruchowej);</w:t>
      </w:r>
    </w:p>
    <w:p w14:paraId="24740258" w14:textId="070D79EC" w:rsidR="00D87921" w:rsidRPr="00526F17" w:rsidRDefault="00D87921" w:rsidP="00D8792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26F17">
        <w:rPr>
          <w:rFonts w:ascii="Times New Roman" w:hAnsi="Times New Roman"/>
          <w:b/>
          <w:sz w:val="23"/>
          <w:szCs w:val="23"/>
        </w:rPr>
        <w:t>SYSTEM OPERACYJNY</w:t>
      </w:r>
      <w:r w:rsidRPr="00526F17">
        <w:rPr>
          <w:rFonts w:ascii="Times New Roman" w:hAnsi="Times New Roman"/>
          <w:sz w:val="23"/>
          <w:szCs w:val="23"/>
        </w:rPr>
        <w:t xml:space="preserve">: </w:t>
      </w:r>
      <w:bookmarkStart w:id="0" w:name="_Hlk76453889"/>
      <w:bookmarkStart w:id="1" w:name="_Hlk76456986"/>
      <w:r w:rsidR="0088531F" w:rsidRPr="0088531F">
        <w:rPr>
          <w:rFonts w:ascii="Times New Roman" w:hAnsi="Times New Roman"/>
          <w:sz w:val="23"/>
          <w:szCs w:val="23"/>
        </w:rPr>
        <w:t xml:space="preserve">System Windows 10 Professional w wersji 64-bitowej </w:t>
      </w:r>
      <w:r w:rsidR="0088531F">
        <w:rPr>
          <w:rFonts w:ascii="Times New Roman" w:hAnsi="Times New Roman"/>
          <w:sz w:val="23"/>
          <w:szCs w:val="23"/>
        </w:rPr>
        <w:t xml:space="preserve">(15 licencji) </w:t>
      </w:r>
      <w:r w:rsidR="006E46CE">
        <w:rPr>
          <w:rFonts w:ascii="Times New Roman" w:hAnsi="Times New Roman"/>
          <w:sz w:val="23"/>
          <w:szCs w:val="23"/>
        </w:rPr>
        <w:t xml:space="preserve"> </w:t>
      </w:r>
      <w:r w:rsidR="0088531F" w:rsidRPr="0088531F">
        <w:rPr>
          <w:rFonts w:ascii="Times New Roman" w:hAnsi="Times New Roman"/>
          <w:sz w:val="23"/>
          <w:szCs w:val="23"/>
        </w:rPr>
        <w:t>zainstalowany w urządzeniu wraz z wszystkimi sterownikami niezbędnymi do pracy lub równoważny. Za system równoważny należy uznać taki, który posiada co najmniej funkcję zarządzania konfiguracją poprzez system Active Directory wykorzystując używane zasady GPO (</w:t>
      </w:r>
      <w:proofErr w:type="spellStart"/>
      <w:r w:rsidR="0088531F" w:rsidRPr="0088531F">
        <w:rPr>
          <w:rFonts w:ascii="Times New Roman" w:hAnsi="Times New Roman"/>
          <w:sz w:val="23"/>
          <w:szCs w:val="23"/>
        </w:rPr>
        <w:t>Group</w:t>
      </w:r>
      <w:proofErr w:type="spellEnd"/>
      <w:r w:rsidR="0088531F" w:rsidRPr="0088531F">
        <w:rPr>
          <w:rFonts w:ascii="Times New Roman" w:hAnsi="Times New Roman"/>
          <w:sz w:val="23"/>
          <w:szCs w:val="23"/>
        </w:rPr>
        <w:t xml:space="preserve"> Policy Object), oparty na domenie Windows 2003/2008/2012/2016 Serwer</w:t>
      </w:r>
      <w:r w:rsidR="0088531F">
        <w:rPr>
          <w:rFonts w:ascii="Times New Roman" w:hAnsi="Times New Roman"/>
          <w:sz w:val="23"/>
          <w:szCs w:val="23"/>
        </w:rPr>
        <w:t>. S</w:t>
      </w:r>
      <w:r w:rsidR="0088531F" w:rsidRPr="0088531F">
        <w:rPr>
          <w:rFonts w:ascii="Times New Roman" w:hAnsi="Times New Roman"/>
          <w:sz w:val="23"/>
          <w:szCs w:val="23"/>
        </w:rPr>
        <w:t>ystem w wersji najnowszej zakupiony jednorazowo, bez konieczności ponoszenia dodatkowych opłat w późniejszym czasie, polska wersja językowa</w:t>
      </w:r>
      <w:r w:rsidR="0088531F">
        <w:rPr>
          <w:rFonts w:ascii="Times New Roman" w:hAnsi="Times New Roman"/>
          <w:sz w:val="23"/>
          <w:szCs w:val="23"/>
        </w:rPr>
        <w:t>.</w:t>
      </w:r>
      <w:r w:rsidR="0088531F" w:rsidRPr="0088531F">
        <w:rPr>
          <w:rFonts w:ascii="Times New Roman" w:hAnsi="Times New Roman"/>
          <w:sz w:val="23"/>
          <w:szCs w:val="23"/>
        </w:rPr>
        <w:t xml:space="preserve"> </w:t>
      </w:r>
      <w:r w:rsidR="0088531F">
        <w:rPr>
          <w:rFonts w:ascii="Times New Roman" w:hAnsi="Times New Roman"/>
          <w:sz w:val="23"/>
          <w:szCs w:val="23"/>
        </w:rPr>
        <w:t>Z</w:t>
      </w:r>
      <w:r w:rsidR="0088531F" w:rsidRPr="0088531F">
        <w:rPr>
          <w:rFonts w:ascii="Times New Roman" w:hAnsi="Times New Roman"/>
          <w:sz w:val="23"/>
          <w:szCs w:val="23"/>
        </w:rPr>
        <w:t xml:space="preserve">alecany system operacyjny z naklejką (hologramem) zawierającym klucz dla systemu operacyjnego i stanowiącym dowód jego legalności, naklejoną na obudowie komputera, </w:t>
      </w:r>
      <w:r w:rsidR="0088531F">
        <w:rPr>
          <w:rFonts w:ascii="Times New Roman" w:hAnsi="Times New Roman"/>
          <w:sz w:val="23"/>
          <w:szCs w:val="23"/>
        </w:rPr>
        <w:t>D</w:t>
      </w:r>
      <w:r w:rsidR="0088531F" w:rsidRPr="0088531F">
        <w:rPr>
          <w:rFonts w:ascii="Times New Roman" w:hAnsi="Times New Roman"/>
          <w:sz w:val="23"/>
          <w:szCs w:val="23"/>
        </w:rPr>
        <w:t>opuszcza się licencję nie wymagającą aktywacji z kluczem licencyjnym zapisanym w BIOS i pełną zgodnością z warunkami licencji producenta systemu.</w:t>
      </w:r>
    </w:p>
    <w:bookmarkEnd w:id="0"/>
    <w:p w14:paraId="118A9DD3" w14:textId="05FE9C62" w:rsidR="00D87921" w:rsidRDefault="00D87921" w:rsidP="00D87921">
      <w:pPr>
        <w:pStyle w:val="Akapitzlist"/>
        <w:spacing w:after="0"/>
        <w:jc w:val="both"/>
        <w:rPr>
          <w:rFonts w:ascii="Times New Roman" w:hAnsi="Times New Roman"/>
          <w:b/>
          <w:sz w:val="23"/>
          <w:szCs w:val="23"/>
        </w:rPr>
      </w:pPr>
      <w:r w:rsidRPr="00526F17">
        <w:rPr>
          <w:rFonts w:ascii="Times New Roman" w:hAnsi="Times New Roman"/>
          <w:b/>
          <w:sz w:val="23"/>
          <w:szCs w:val="23"/>
        </w:rPr>
        <w:t>UWAGA. Obowiązek wykazania równoważności zaoferowanego operacyjnego leży po stronie Wykonawcy. W tym celu Wykonawca winien przedstawić oświadczenie i dokumenty potwierdzające równoważność oferowanego wraz z zestawem systemu operacyjnego.</w:t>
      </w:r>
    </w:p>
    <w:p w14:paraId="13C21C7E" w14:textId="44CA4114" w:rsidR="00C57F66" w:rsidRDefault="00C57F66">
      <w:pPr>
        <w:spacing w:line="259" w:lineRule="auto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br w:type="page"/>
      </w:r>
    </w:p>
    <w:p w14:paraId="1E2F62C7" w14:textId="77777777" w:rsidR="00C57F66" w:rsidRPr="00526F17" w:rsidRDefault="00C57F66" w:rsidP="00D87921">
      <w:pPr>
        <w:pStyle w:val="Akapitzlist"/>
        <w:spacing w:after="0"/>
        <w:jc w:val="both"/>
        <w:rPr>
          <w:rFonts w:ascii="Times New Roman" w:hAnsi="Times New Roman"/>
          <w:sz w:val="23"/>
          <w:szCs w:val="23"/>
        </w:rPr>
      </w:pPr>
    </w:p>
    <w:bookmarkEnd w:id="1"/>
    <w:p w14:paraId="4584E015" w14:textId="38A2E917" w:rsidR="005149A1" w:rsidRDefault="005149A1" w:rsidP="00D87921">
      <w:pPr>
        <w:pStyle w:val="Akapitzlist"/>
        <w:spacing w:after="0"/>
        <w:jc w:val="both"/>
        <w:rPr>
          <w:rFonts w:ascii="Times New Roman" w:hAnsi="Times New Roman"/>
          <w:sz w:val="23"/>
          <w:szCs w:val="23"/>
        </w:rPr>
      </w:pPr>
    </w:p>
    <w:tbl>
      <w:tblPr>
        <w:tblpPr w:leftFromText="141" w:rightFromText="141" w:vertAnchor="text" w:horzAnchor="margin" w:tblpXSpec="center" w:tblpY="58"/>
        <w:tblW w:w="13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3688"/>
        <w:gridCol w:w="1134"/>
        <w:gridCol w:w="1701"/>
        <w:gridCol w:w="1701"/>
        <w:gridCol w:w="1134"/>
        <w:gridCol w:w="1134"/>
        <w:gridCol w:w="1843"/>
      </w:tblGrid>
      <w:tr w:rsidR="00526F17" w:rsidRPr="0061584D" w14:paraId="24AD7332" w14:textId="77777777" w:rsidTr="00536A41">
        <w:trPr>
          <w:trHeight w:val="466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D8C6AB5" w14:textId="77777777" w:rsidR="00526F17" w:rsidRPr="0061584D" w:rsidRDefault="00526F17" w:rsidP="00536A41">
            <w:pPr>
              <w:pStyle w:val="Nagwek1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61584D">
              <w:rPr>
                <w:rFonts w:ascii="Cambria Math" w:hAnsi="Cambria Math"/>
                <w:sz w:val="20"/>
                <w:szCs w:val="20"/>
              </w:rPr>
              <w:t>POZYCJA</w:t>
            </w: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EE686FB" w14:textId="77777777" w:rsidR="00526F17" w:rsidRDefault="00526F17" w:rsidP="00536A41">
            <w:pPr>
              <w:spacing w:after="0" w:line="240" w:lineRule="auto"/>
              <w:ind w:left="-116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 xml:space="preserve">SPECYFIKACJA SPRZĘTU </w:t>
            </w:r>
          </w:p>
          <w:p w14:paraId="7CD5343B" w14:textId="77777777" w:rsidR="00526F17" w:rsidRPr="0061584D" w:rsidRDefault="00526F17" w:rsidP="00536A41">
            <w:pPr>
              <w:spacing w:after="0" w:line="240" w:lineRule="auto"/>
              <w:ind w:left="-116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(TYP / MODEL / PRODUCENT)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A41AE9A" w14:textId="77777777" w:rsidR="00526F17" w:rsidRPr="0061584D" w:rsidRDefault="00526F17" w:rsidP="00536A41">
            <w:pPr>
              <w:spacing w:after="0" w:line="240" w:lineRule="auto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 w:rsidRPr="0061584D">
              <w:rPr>
                <w:rFonts w:ascii="Cambria Math" w:hAnsi="Cambria Math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DB3E2"/>
          </w:tcPr>
          <w:p w14:paraId="64D40476" w14:textId="77777777" w:rsidR="00526F17" w:rsidRPr="0061584D" w:rsidRDefault="00526F17" w:rsidP="00536A41">
            <w:pPr>
              <w:spacing w:after="0" w:line="240" w:lineRule="auto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 xml:space="preserve">Cena jednostkowa netto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DB3E2"/>
          </w:tcPr>
          <w:p w14:paraId="34BC1DC0" w14:textId="77777777" w:rsidR="00526F17" w:rsidRPr="0061584D" w:rsidRDefault="00526F17" w:rsidP="00536A41">
            <w:pPr>
              <w:spacing w:after="0" w:line="240" w:lineRule="auto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Wartość netto (3x4)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DB3E2"/>
          </w:tcPr>
          <w:p w14:paraId="2FCE2465" w14:textId="77777777" w:rsidR="00526F17" w:rsidRPr="0061584D" w:rsidRDefault="00526F17" w:rsidP="00536A41">
            <w:pPr>
              <w:spacing w:after="0" w:line="240" w:lineRule="auto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Stawka VAT 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DB3E2"/>
          </w:tcPr>
          <w:p w14:paraId="125701C6" w14:textId="77777777" w:rsidR="00526F17" w:rsidRPr="0061584D" w:rsidRDefault="00526F17" w:rsidP="00536A41">
            <w:pPr>
              <w:spacing w:after="0" w:line="240" w:lineRule="auto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Kwota VAT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8DB3E2"/>
          </w:tcPr>
          <w:p w14:paraId="2EEBBC8F" w14:textId="77777777" w:rsidR="00526F17" w:rsidRPr="0061584D" w:rsidRDefault="00526F17" w:rsidP="00536A41">
            <w:pPr>
              <w:spacing w:after="0" w:line="240" w:lineRule="auto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Wartość brutto (kol. 5+7)</w:t>
            </w:r>
          </w:p>
        </w:tc>
      </w:tr>
      <w:tr w:rsidR="00526F17" w:rsidRPr="0061584D" w14:paraId="6A0FC401" w14:textId="77777777" w:rsidTr="00536A41">
        <w:trPr>
          <w:trHeight w:val="324"/>
        </w:trPr>
        <w:tc>
          <w:tcPr>
            <w:tcW w:w="1060" w:type="dxa"/>
            <w:shd w:val="clear" w:color="auto" w:fill="D5DCE4" w:themeFill="text2" w:themeFillTint="33"/>
            <w:vAlign w:val="center"/>
          </w:tcPr>
          <w:p w14:paraId="2D291650" w14:textId="77777777" w:rsidR="00526F17" w:rsidRPr="0061584D" w:rsidRDefault="00526F17" w:rsidP="00536A41">
            <w:pPr>
              <w:pStyle w:val="Nagwek1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61584D">
              <w:rPr>
                <w:rFonts w:ascii="Cambria Math" w:hAnsi="Cambria Math"/>
                <w:sz w:val="20"/>
                <w:szCs w:val="20"/>
              </w:rPr>
              <w:t>1.</w:t>
            </w:r>
          </w:p>
        </w:tc>
        <w:tc>
          <w:tcPr>
            <w:tcW w:w="3688" w:type="dxa"/>
            <w:shd w:val="clear" w:color="auto" w:fill="D5DCE4" w:themeFill="text2" w:themeFillTint="33"/>
            <w:vAlign w:val="center"/>
          </w:tcPr>
          <w:p w14:paraId="1C49CA0A" w14:textId="77777777" w:rsidR="00526F17" w:rsidRPr="0061584D" w:rsidRDefault="00526F17" w:rsidP="00536A41">
            <w:pPr>
              <w:spacing w:after="0" w:line="240" w:lineRule="auto"/>
              <w:ind w:left="-116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 w:rsidRPr="0061584D">
              <w:rPr>
                <w:rFonts w:ascii="Cambria Math" w:hAnsi="Cambria Math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55D8A657" w14:textId="77777777" w:rsidR="00526F17" w:rsidRPr="0061584D" w:rsidRDefault="00526F17" w:rsidP="00536A41">
            <w:pPr>
              <w:spacing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 w:rsidRPr="0061584D">
              <w:rPr>
                <w:rFonts w:ascii="Cambria Math" w:hAnsi="Cambria Math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73724719" w14:textId="77777777" w:rsidR="00526F17" w:rsidRPr="0061584D" w:rsidRDefault="00526F17" w:rsidP="00536A41">
            <w:pPr>
              <w:spacing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021E6EB7" w14:textId="77777777" w:rsidR="00526F17" w:rsidRPr="0061584D" w:rsidRDefault="00526F17" w:rsidP="00536A41">
            <w:pPr>
              <w:spacing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648A13DB" w14:textId="77777777" w:rsidR="00526F17" w:rsidRPr="0061584D" w:rsidRDefault="00526F17" w:rsidP="00536A41">
            <w:pPr>
              <w:spacing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2028AD4D" w14:textId="77777777" w:rsidR="00526F17" w:rsidRPr="0061584D" w:rsidRDefault="00526F17" w:rsidP="00536A41">
            <w:pPr>
              <w:spacing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538D2D4D" w14:textId="77777777" w:rsidR="00526F17" w:rsidRPr="0061584D" w:rsidRDefault="00526F17" w:rsidP="00536A41">
            <w:pPr>
              <w:spacing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8.</w:t>
            </w:r>
          </w:p>
        </w:tc>
      </w:tr>
      <w:tr w:rsidR="00526F17" w:rsidRPr="00134CA8" w14:paraId="03EF1CA0" w14:textId="77777777" w:rsidTr="00536A41">
        <w:trPr>
          <w:trHeight w:val="70"/>
        </w:trPr>
        <w:tc>
          <w:tcPr>
            <w:tcW w:w="1060" w:type="dxa"/>
            <w:vAlign w:val="center"/>
          </w:tcPr>
          <w:p w14:paraId="79DF3CD1" w14:textId="77777777" w:rsidR="00526F17" w:rsidRPr="002C42EE" w:rsidRDefault="00526F17" w:rsidP="00536A41">
            <w:pPr>
              <w:spacing w:after="0" w:line="240" w:lineRule="auto"/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1.</w:t>
            </w:r>
          </w:p>
        </w:tc>
        <w:tc>
          <w:tcPr>
            <w:tcW w:w="3688" w:type="dxa"/>
            <w:vAlign w:val="center"/>
          </w:tcPr>
          <w:p w14:paraId="042D11B2" w14:textId="619B27D2" w:rsidR="00526F17" w:rsidRPr="006F63E2" w:rsidRDefault="00526F17" w:rsidP="00536A41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6F63E2">
              <w:rPr>
                <w:rFonts w:ascii="Times New Roman" w:hAnsi="Times New Roman" w:cs="Times New Roman"/>
                <w:b/>
                <w:u w:val="single"/>
              </w:rPr>
              <w:t xml:space="preserve">KOMPUTERY </w:t>
            </w:r>
            <w:r>
              <w:rPr>
                <w:rFonts w:ascii="Times New Roman" w:hAnsi="Times New Roman" w:cs="Times New Roman"/>
                <w:b/>
                <w:u w:val="single"/>
              </w:rPr>
              <w:t>PRZENOŚNE</w:t>
            </w:r>
            <w:r w:rsidRPr="006F63E2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14:paraId="500C7F34" w14:textId="11FD1B38" w:rsidR="00526F17" w:rsidRPr="006F63E2" w:rsidRDefault="00526F17" w:rsidP="00536A41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</w:rPr>
              <w:t>Typ</w:t>
            </w:r>
            <w:r w:rsidRPr="006F63E2">
              <w:rPr>
                <w:rFonts w:ascii="Times New Roman" w:hAnsi="Times New Roman" w:cs="Times New Roman"/>
                <w:b/>
                <w:bCs/>
              </w:rPr>
              <w:t>:</w:t>
            </w:r>
            <w:r w:rsidRPr="006F63E2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</w:t>
            </w:r>
          </w:p>
          <w:p w14:paraId="5696027A" w14:textId="2C63D27A" w:rsidR="00526F17" w:rsidRPr="006F63E2" w:rsidRDefault="00526F17" w:rsidP="00536A4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6F63E2">
              <w:rPr>
                <w:rFonts w:ascii="Times New Roman" w:hAnsi="Times New Roman" w:cs="Times New Roman"/>
                <w:b/>
                <w:bCs/>
              </w:rPr>
              <w:t>. Procesor:</w:t>
            </w:r>
            <w:r w:rsidRPr="006F63E2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</w:t>
            </w:r>
          </w:p>
          <w:p w14:paraId="53E9D796" w14:textId="4A7A04E0" w:rsidR="00526F17" w:rsidRPr="006F63E2" w:rsidRDefault="00526F17" w:rsidP="00536A4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6F63E2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Pamięć operacyjna</w:t>
            </w:r>
            <w:r w:rsidRPr="006F63E2">
              <w:rPr>
                <w:rFonts w:ascii="Times New Roman" w:hAnsi="Times New Roman" w:cs="Times New Roman"/>
                <w:b/>
                <w:bCs/>
              </w:rPr>
              <w:t>:</w:t>
            </w:r>
            <w:r w:rsidRPr="006F63E2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</w:t>
            </w:r>
          </w:p>
          <w:p w14:paraId="172239AA" w14:textId="7E1E885A" w:rsidR="00526F17" w:rsidRPr="006F63E2" w:rsidRDefault="00526F17" w:rsidP="00536A4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6F63E2">
              <w:rPr>
                <w:rFonts w:ascii="Times New Roman" w:hAnsi="Times New Roman" w:cs="Times New Roman"/>
                <w:b/>
                <w:bCs/>
              </w:rPr>
              <w:t>. Dysk SSD:</w:t>
            </w:r>
            <w:r w:rsidRPr="006F63E2">
              <w:rPr>
                <w:rFonts w:ascii="Times New Roman" w:hAnsi="Times New Roman" w:cs="Times New Roman"/>
              </w:rPr>
              <w:t xml:space="preserve">  ……………………………………………………………………………………</w:t>
            </w:r>
          </w:p>
          <w:p w14:paraId="29D3AF76" w14:textId="4869A7B5" w:rsidR="00526F17" w:rsidRPr="006F63E2" w:rsidRDefault="00526F17" w:rsidP="00536A4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6F63E2">
              <w:rPr>
                <w:rFonts w:ascii="Times New Roman" w:hAnsi="Times New Roman" w:cs="Times New Roman"/>
                <w:b/>
                <w:bCs/>
              </w:rPr>
              <w:t>. Napęd optyczny:</w:t>
            </w:r>
            <w:r w:rsidRPr="006F63E2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</w:t>
            </w:r>
          </w:p>
          <w:p w14:paraId="38FF108B" w14:textId="7EF727D7" w:rsidR="00526F17" w:rsidRPr="006F63E2" w:rsidRDefault="00526F17" w:rsidP="00536A4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6F63E2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Mysz</w:t>
            </w:r>
            <w:r w:rsidRPr="006F63E2">
              <w:rPr>
                <w:rFonts w:ascii="Times New Roman" w:hAnsi="Times New Roman" w:cs="Times New Roman"/>
                <w:b/>
                <w:bCs/>
              </w:rPr>
              <w:t>:</w:t>
            </w:r>
            <w:r w:rsidRPr="006F63E2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</w:t>
            </w:r>
          </w:p>
          <w:p w14:paraId="2C2A73B2" w14:textId="70AE305C" w:rsidR="00526F17" w:rsidRPr="006F63E2" w:rsidRDefault="00526F17" w:rsidP="00536A4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6F63E2">
              <w:rPr>
                <w:rFonts w:ascii="Times New Roman" w:hAnsi="Times New Roman" w:cs="Times New Roman"/>
                <w:b/>
                <w:bCs/>
              </w:rPr>
              <w:t>. M</w:t>
            </w:r>
            <w:r>
              <w:rPr>
                <w:rFonts w:ascii="Times New Roman" w:hAnsi="Times New Roman" w:cs="Times New Roman"/>
                <w:b/>
                <w:bCs/>
              </w:rPr>
              <w:t>ultimedia</w:t>
            </w:r>
            <w:r w:rsidRPr="006F63E2">
              <w:rPr>
                <w:rFonts w:ascii="Times New Roman" w:hAnsi="Times New Roman" w:cs="Times New Roman"/>
                <w:b/>
                <w:bCs/>
              </w:rPr>
              <w:t>:</w:t>
            </w:r>
            <w:r w:rsidRPr="006F63E2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</w:t>
            </w:r>
          </w:p>
          <w:p w14:paraId="27927FED" w14:textId="4D3B8200" w:rsidR="00526F17" w:rsidRPr="006F63E2" w:rsidRDefault="00526F17" w:rsidP="00526F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6F63E2">
              <w:rPr>
                <w:rFonts w:ascii="Times New Roman" w:hAnsi="Times New Roman" w:cs="Times New Roman"/>
                <w:b/>
                <w:bCs/>
              </w:rPr>
              <w:t>.</w:t>
            </w:r>
            <w:r w:rsidRPr="006F63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Odbudowa po awarii</w:t>
            </w:r>
          </w:p>
          <w:p w14:paraId="3A426690" w14:textId="6AC06E3F" w:rsidR="00526F17" w:rsidRPr="006F63E2" w:rsidRDefault="00526F17" w:rsidP="00536A41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</w:rPr>
              <w:t>……………………………………………………………………………………</w:t>
            </w:r>
          </w:p>
          <w:p w14:paraId="20657662" w14:textId="73C14F44" w:rsidR="00526F17" w:rsidRPr="006F63E2" w:rsidRDefault="00526F17" w:rsidP="00536A4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9.</w:t>
            </w:r>
            <w:r w:rsidRPr="006F63E2">
              <w:rPr>
                <w:rFonts w:ascii="Times New Roman" w:hAnsi="Times New Roman" w:cs="Times New Roman"/>
                <w:b/>
              </w:rPr>
              <w:t xml:space="preserve"> System operacyjny: </w:t>
            </w:r>
            <w:r w:rsidRPr="006F63E2">
              <w:rPr>
                <w:rFonts w:ascii="Times New Roman" w:hAnsi="Times New Roman" w:cs="Times New Roman"/>
              </w:rPr>
              <w:t>……………………………………………………………………………………</w:t>
            </w:r>
          </w:p>
        </w:tc>
        <w:tc>
          <w:tcPr>
            <w:tcW w:w="1134" w:type="dxa"/>
            <w:vAlign w:val="center"/>
          </w:tcPr>
          <w:p w14:paraId="6F7B5FCC" w14:textId="77777777" w:rsidR="00526F17" w:rsidRPr="002A2040" w:rsidRDefault="00526F17" w:rsidP="00536A41">
            <w:pPr>
              <w:pStyle w:val="Akapitzlist"/>
              <w:spacing w:before="120" w:after="0" w:line="240" w:lineRule="auto"/>
              <w:ind w:left="-70" w:right="-70"/>
              <w:jc w:val="center"/>
              <w:rPr>
                <w:rFonts w:ascii="Cambria Math" w:hAnsi="Cambria Math" w:cs="Arial"/>
                <w:sz w:val="18"/>
                <w:szCs w:val="18"/>
                <w:u w:val="single"/>
              </w:rPr>
            </w:pPr>
            <w:r>
              <w:rPr>
                <w:rFonts w:ascii="Cambria Math" w:hAnsi="Cambria Math" w:cs="Arial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</w:tcPr>
          <w:p w14:paraId="6B16F8E9" w14:textId="77777777" w:rsidR="00526F17" w:rsidRPr="00134CA8" w:rsidRDefault="00526F17" w:rsidP="00536A41">
            <w:pPr>
              <w:pStyle w:val="Akapitzlist"/>
              <w:spacing w:before="120"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5800BF" w14:textId="77777777" w:rsidR="00526F17" w:rsidRPr="00134CA8" w:rsidRDefault="00526F17" w:rsidP="00536A41">
            <w:pPr>
              <w:pStyle w:val="Akapitzlist"/>
              <w:spacing w:before="120"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219434" w14:textId="77777777" w:rsidR="00526F17" w:rsidRPr="00134CA8" w:rsidRDefault="00526F17" w:rsidP="00536A41">
            <w:pPr>
              <w:pStyle w:val="Akapitzlist"/>
              <w:spacing w:before="120"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3F4942" w14:textId="77777777" w:rsidR="00526F17" w:rsidRPr="00134CA8" w:rsidRDefault="00526F17" w:rsidP="00536A41">
            <w:pPr>
              <w:pStyle w:val="Akapitzlist"/>
              <w:spacing w:before="120"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EA55EC" w14:textId="77777777" w:rsidR="00526F17" w:rsidRPr="00134CA8" w:rsidRDefault="00526F17" w:rsidP="00536A41">
            <w:pPr>
              <w:pStyle w:val="Akapitzlist"/>
              <w:spacing w:before="120"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sz w:val="24"/>
                <w:szCs w:val="24"/>
              </w:rPr>
            </w:pPr>
          </w:p>
        </w:tc>
      </w:tr>
      <w:tr w:rsidR="00526F17" w:rsidRPr="00134CA8" w14:paraId="124B5919" w14:textId="77777777" w:rsidTr="00B81F52">
        <w:trPr>
          <w:trHeight w:val="70"/>
        </w:trPr>
        <w:tc>
          <w:tcPr>
            <w:tcW w:w="11552" w:type="dxa"/>
            <w:gridSpan w:val="7"/>
            <w:vAlign w:val="center"/>
          </w:tcPr>
          <w:p w14:paraId="4F7B2B91" w14:textId="77777777" w:rsidR="00526F17" w:rsidRDefault="00526F17" w:rsidP="00526F17">
            <w:pPr>
              <w:spacing w:after="0" w:line="240" w:lineRule="auto"/>
              <w:jc w:val="right"/>
              <w:rPr>
                <w:rFonts w:ascii="Cambria Math" w:hAnsi="Cambria Math" w:cs="Arial"/>
                <w:b/>
                <w:sz w:val="24"/>
                <w:szCs w:val="24"/>
              </w:rPr>
            </w:pPr>
            <w:r>
              <w:rPr>
                <w:rFonts w:ascii="Cambria Math" w:hAnsi="Cambria Math" w:cs="Arial"/>
                <w:b/>
                <w:sz w:val="24"/>
                <w:szCs w:val="24"/>
              </w:rPr>
              <w:t xml:space="preserve">RAZEM </w:t>
            </w:r>
          </w:p>
          <w:p w14:paraId="434347BF" w14:textId="77777777" w:rsidR="00526F17" w:rsidRDefault="00526F17" w:rsidP="00526F17">
            <w:pPr>
              <w:spacing w:after="0" w:line="240" w:lineRule="auto"/>
              <w:jc w:val="right"/>
              <w:rPr>
                <w:rFonts w:ascii="Cambria Math" w:hAnsi="Cambria Math" w:cs="Arial"/>
                <w:b/>
                <w:sz w:val="24"/>
                <w:szCs w:val="24"/>
              </w:rPr>
            </w:pPr>
            <w:r>
              <w:rPr>
                <w:rFonts w:ascii="Cambria Math" w:hAnsi="Cambria Math" w:cs="Arial"/>
                <w:b/>
                <w:sz w:val="24"/>
                <w:szCs w:val="24"/>
              </w:rPr>
              <w:t>(suma wszystkich pozycji w kol. 8)</w:t>
            </w:r>
          </w:p>
          <w:p w14:paraId="3BEE956A" w14:textId="05A3E7DC" w:rsidR="00526F17" w:rsidRPr="00134CA8" w:rsidRDefault="00526F17" w:rsidP="00526F17">
            <w:pPr>
              <w:pStyle w:val="Akapitzlist"/>
              <w:spacing w:before="120" w:after="0" w:line="240" w:lineRule="auto"/>
              <w:ind w:left="-70" w:right="11"/>
              <w:jc w:val="right"/>
              <w:rPr>
                <w:rFonts w:ascii="Cambria Math" w:hAnsi="Cambria Math" w:cs="Arial"/>
                <w:b/>
                <w:sz w:val="24"/>
                <w:szCs w:val="24"/>
              </w:rPr>
            </w:pPr>
            <w:r w:rsidRPr="00B5322C">
              <w:rPr>
                <w:rFonts w:ascii="Cambria Math" w:hAnsi="Cambria Math" w:cs="Arial"/>
                <w:i/>
                <w:sz w:val="24"/>
                <w:szCs w:val="24"/>
              </w:rPr>
              <w:t xml:space="preserve">Należy przenieść do formularza ofertowego dla części </w:t>
            </w:r>
            <w:r>
              <w:rPr>
                <w:rFonts w:ascii="Cambria Math" w:hAnsi="Cambria Math" w:cs="Arial"/>
                <w:i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AE6C61E" w14:textId="77777777" w:rsidR="00526F17" w:rsidRPr="00134CA8" w:rsidRDefault="00526F17" w:rsidP="00536A41">
            <w:pPr>
              <w:pStyle w:val="Akapitzlist"/>
              <w:spacing w:before="120"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sz w:val="24"/>
                <w:szCs w:val="24"/>
              </w:rPr>
            </w:pPr>
          </w:p>
        </w:tc>
      </w:tr>
    </w:tbl>
    <w:p w14:paraId="57B79B4A" w14:textId="77777777" w:rsidR="00526F17" w:rsidRDefault="00526F17" w:rsidP="00526F17">
      <w:pPr>
        <w:spacing w:after="0" w:line="240" w:lineRule="auto"/>
        <w:ind w:firstLine="709"/>
        <w:jc w:val="right"/>
        <w:rPr>
          <w:b/>
        </w:rPr>
      </w:pPr>
    </w:p>
    <w:p w14:paraId="39CD4BDD" w14:textId="77777777" w:rsidR="00526F17" w:rsidRDefault="00526F17" w:rsidP="00526F17">
      <w:pPr>
        <w:spacing w:after="0" w:line="240" w:lineRule="auto"/>
        <w:ind w:firstLine="709"/>
        <w:jc w:val="right"/>
        <w:rPr>
          <w:b/>
        </w:rPr>
      </w:pPr>
    </w:p>
    <w:p w14:paraId="13E42465" w14:textId="77777777" w:rsidR="00526F17" w:rsidRDefault="00526F17" w:rsidP="00526F17">
      <w:pPr>
        <w:spacing w:after="0" w:line="240" w:lineRule="auto"/>
        <w:ind w:firstLine="709"/>
        <w:jc w:val="right"/>
        <w:rPr>
          <w:b/>
        </w:rPr>
      </w:pPr>
    </w:p>
    <w:p w14:paraId="3254F8A1" w14:textId="77777777" w:rsidR="00526F17" w:rsidRDefault="00526F17" w:rsidP="00526F17">
      <w:pPr>
        <w:spacing w:after="0" w:line="240" w:lineRule="auto"/>
        <w:ind w:firstLine="709"/>
        <w:jc w:val="right"/>
        <w:rPr>
          <w:b/>
        </w:rPr>
      </w:pPr>
    </w:p>
    <w:p w14:paraId="00D30C56" w14:textId="77777777" w:rsidR="00526F17" w:rsidRDefault="00526F17" w:rsidP="00526F17">
      <w:pPr>
        <w:spacing w:after="0" w:line="240" w:lineRule="auto"/>
        <w:ind w:firstLine="709"/>
        <w:jc w:val="right"/>
        <w:rPr>
          <w:b/>
        </w:rPr>
      </w:pPr>
    </w:p>
    <w:p w14:paraId="3B8CFC89" w14:textId="77777777" w:rsidR="00526F17" w:rsidRDefault="00526F17" w:rsidP="00526F17">
      <w:pPr>
        <w:spacing w:after="0" w:line="240" w:lineRule="auto"/>
        <w:ind w:firstLine="709"/>
        <w:jc w:val="right"/>
        <w:rPr>
          <w:b/>
        </w:rPr>
      </w:pPr>
    </w:p>
    <w:p w14:paraId="2AC0DD94" w14:textId="77777777" w:rsidR="00526F17" w:rsidRDefault="00526F17" w:rsidP="00526F17">
      <w:pPr>
        <w:spacing w:after="0" w:line="240" w:lineRule="auto"/>
        <w:ind w:firstLine="709"/>
        <w:jc w:val="right"/>
        <w:rPr>
          <w:b/>
        </w:rPr>
      </w:pPr>
    </w:p>
    <w:p w14:paraId="4401327C" w14:textId="77777777" w:rsidR="00526F17" w:rsidRDefault="00526F17" w:rsidP="00526F17">
      <w:pPr>
        <w:spacing w:after="0" w:line="240" w:lineRule="auto"/>
        <w:ind w:firstLine="709"/>
        <w:jc w:val="right"/>
        <w:rPr>
          <w:b/>
        </w:rPr>
      </w:pPr>
    </w:p>
    <w:p w14:paraId="7CFA8FF7" w14:textId="77777777" w:rsidR="00526F17" w:rsidRPr="00134C52" w:rsidRDefault="00526F17" w:rsidP="00526F17">
      <w:pPr>
        <w:spacing w:after="0" w:line="240" w:lineRule="auto"/>
        <w:ind w:firstLine="709"/>
        <w:jc w:val="right"/>
        <w:rPr>
          <w:b/>
        </w:rPr>
      </w:pPr>
      <w:r>
        <w:rPr>
          <w:b/>
        </w:rPr>
        <w:t>……………………………………</w:t>
      </w:r>
      <w:r w:rsidRPr="00134C52">
        <w:rPr>
          <w:b/>
        </w:rPr>
        <w:t>…………………………………………..</w:t>
      </w:r>
    </w:p>
    <w:p w14:paraId="3371FD87" w14:textId="77777777" w:rsidR="00526F17" w:rsidRPr="006F63E2" w:rsidRDefault="00526F17" w:rsidP="00526F17">
      <w:pPr>
        <w:ind w:firstLine="708"/>
        <w:jc w:val="right"/>
        <w:rPr>
          <w:i/>
          <w:iCs/>
        </w:rPr>
      </w:pPr>
      <w:r w:rsidRPr="006F63E2">
        <w:rPr>
          <w:i/>
          <w:iCs/>
        </w:rPr>
        <w:t>Podpisano (upoważniony przedstawiciel wykonawcy)</w:t>
      </w:r>
    </w:p>
    <w:p w14:paraId="3454998F" w14:textId="77777777" w:rsidR="00526F17" w:rsidRPr="00526F17" w:rsidRDefault="00526F17" w:rsidP="00D87921">
      <w:pPr>
        <w:pStyle w:val="Akapitzlist"/>
        <w:spacing w:after="0"/>
        <w:jc w:val="both"/>
        <w:rPr>
          <w:rFonts w:ascii="Times New Roman" w:hAnsi="Times New Roman"/>
          <w:sz w:val="23"/>
          <w:szCs w:val="23"/>
        </w:rPr>
      </w:pPr>
    </w:p>
    <w:sectPr w:rsidR="00526F17" w:rsidRPr="00526F17" w:rsidSect="00526F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19E0B" w14:textId="77777777" w:rsidR="00922DB8" w:rsidRDefault="00922DB8" w:rsidP="00FA40A9">
      <w:pPr>
        <w:spacing w:after="0" w:line="240" w:lineRule="auto"/>
      </w:pPr>
      <w:r>
        <w:separator/>
      </w:r>
    </w:p>
  </w:endnote>
  <w:endnote w:type="continuationSeparator" w:id="0">
    <w:p w14:paraId="3B4AEC40" w14:textId="77777777" w:rsidR="00922DB8" w:rsidRDefault="00922DB8" w:rsidP="00FA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30CB" w14:textId="77777777" w:rsidR="00526F17" w:rsidRDefault="00526F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13705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76D23B5" w14:textId="09453A11" w:rsidR="00A0596F" w:rsidRDefault="00A0596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BBFE9F" w14:textId="77777777" w:rsidR="00526F17" w:rsidRDefault="00526F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40B5" w14:textId="77777777" w:rsidR="00526F17" w:rsidRDefault="00526F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6CA66" w14:textId="77777777" w:rsidR="00922DB8" w:rsidRDefault="00922DB8" w:rsidP="00FA40A9">
      <w:pPr>
        <w:spacing w:after="0" w:line="240" w:lineRule="auto"/>
      </w:pPr>
      <w:r>
        <w:separator/>
      </w:r>
    </w:p>
  </w:footnote>
  <w:footnote w:type="continuationSeparator" w:id="0">
    <w:p w14:paraId="4FDD9438" w14:textId="77777777" w:rsidR="00922DB8" w:rsidRDefault="00922DB8" w:rsidP="00FA4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32B4F" w14:textId="77777777" w:rsidR="00526F17" w:rsidRDefault="00526F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B761" w14:textId="6A0DCE15" w:rsidR="00FA40A9" w:rsidRPr="00FA40A9" w:rsidRDefault="00FA40A9" w:rsidP="00FA40A9">
    <w:pPr>
      <w:pStyle w:val="Nagwek"/>
      <w:jc w:val="right"/>
      <w:rPr>
        <w:i/>
        <w:iCs/>
      </w:rPr>
    </w:pPr>
    <w:r w:rsidRPr="00FA40A9">
      <w:rPr>
        <w:i/>
        <w:iCs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8C07" w14:textId="77777777" w:rsidR="00526F17" w:rsidRDefault="00526F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08B9"/>
    <w:multiLevelType w:val="hybridMultilevel"/>
    <w:tmpl w:val="88E42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C2D03"/>
    <w:multiLevelType w:val="hybridMultilevel"/>
    <w:tmpl w:val="43404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078CB"/>
    <w:multiLevelType w:val="hybridMultilevel"/>
    <w:tmpl w:val="9552F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53137"/>
    <w:multiLevelType w:val="hybridMultilevel"/>
    <w:tmpl w:val="9D22B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523AC"/>
    <w:multiLevelType w:val="hybridMultilevel"/>
    <w:tmpl w:val="7B366A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304B14"/>
    <w:multiLevelType w:val="hybridMultilevel"/>
    <w:tmpl w:val="92B22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65ECE"/>
    <w:multiLevelType w:val="hybridMultilevel"/>
    <w:tmpl w:val="960A7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56214"/>
    <w:multiLevelType w:val="hybridMultilevel"/>
    <w:tmpl w:val="1AC2C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A1"/>
    <w:rsid w:val="00060CD4"/>
    <w:rsid w:val="001F68F8"/>
    <w:rsid w:val="002436F8"/>
    <w:rsid w:val="00455634"/>
    <w:rsid w:val="004C3B90"/>
    <w:rsid w:val="005149A1"/>
    <w:rsid w:val="00526F17"/>
    <w:rsid w:val="00611A64"/>
    <w:rsid w:val="00616F5F"/>
    <w:rsid w:val="006D2212"/>
    <w:rsid w:val="006E46CE"/>
    <w:rsid w:val="00795242"/>
    <w:rsid w:val="007F31B7"/>
    <w:rsid w:val="0088531F"/>
    <w:rsid w:val="00922DB8"/>
    <w:rsid w:val="00927233"/>
    <w:rsid w:val="00A0596F"/>
    <w:rsid w:val="00C57F66"/>
    <w:rsid w:val="00D87921"/>
    <w:rsid w:val="00F16AD3"/>
    <w:rsid w:val="00F45246"/>
    <w:rsid w:val="00F9321D"/>
    <w:rsid w:val="00F96C5F"/>
    <w:rsid w:val="00FA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677E"/>
  <w15:chartTrackingRefBased/>
  <w15:docId w15:val="{E00E753A-2EC6-4B62-AEA4-DFA17FB1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9A1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526F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149A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49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5149A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4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0A9"/>
  </w:style>
  <w:style w:type="paragraph" w:styleId="Stopka">
    <w:name w:val="footer"/>
    <w:basedOn w:val="Normalny"/>
    <w:link w:val="StopkaZnak"/>
    <w:uiPriority w:val="99"/>
    <w:unhideWhenUsed/>
    <w:rsid w:val="00FA4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0A9"/>
  </w:style>
  <w:style w:type="character" w:customStyle="1" w:styleId="Nagwek1Znak">
    <w:name w:val="Nagłówek 1 Znak"/>
    <w:basedOn w:val="Domylnaczcionkaakapitu"/>
    <w:link w:val="Nagwek1"/>
    <w:rsid w:val="00526F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7DC99-D3F8-4307-8FB7-20CBC0AA6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1016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Niemiec</dc:creator>
  <cp:keywords/>
  <dc:description/>
  <cp:lastModifiedBy>Edyta Niemiec</cp:lastModifiedBy>
  <cp:revision>12</cp:revision>
  <dcterms:created xsi:type="dcterms:W3CDTF">2021-07-02T15:43:00Z</dcterms:created>
  <dcterms:modified xsi:type="dcterms:W3CDTF">2021-07-06T12:50:00Z</dcterms:modified>
</cp:coreProperties>
</file>